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EU AI Act Compliance Checklist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Organisation: Acme Inc</w:t>
      </w:r>
    </w:p>
    <w:p>
      <w:r>
        <w:t xml:space="preserve">Project: nextjs-saas-example</w:t>
      </w:r>
    </w:p>
    <w:p>
      <w:r>
        <w:t xml:space="preserve">Risk Classification: Limited</w:t>
      </w:r>
    </w:p>
    <w:p>
      <w:r>
        <w:t xml:space="preserve">Generated: 2026-03-19</w:t>
      </w:r>
    </w:p>
    <w:p>
      <w:pPr>
        <w:pStyle w:val="Heading2"/>
      </w:pPr>
      <w:r>
        <w:t>Related Documents</w:t>
      </w:r>
    </w:p>
    <w:p>
      <w:pPr>
        <w:pStyle w:val="ListParagraph"/>
        <w:numPr>
          <w:ilvl w:val="0"/>
          <w:numId w:val="1"/>
        </w:numPr>
      </w:pPr>
      <w:r>
        <w:t xml:space="preserve">AI Disclosure (`AI_DISCLOSURE.md`)</w:t>
      </w:r>
    </w:p>
    <w:p>
      <w:pPr>
        <w:pStyle w:val="ListParagraph"/>
        <w:numPr>
          <w:ilvl w:val="0"/>
          <w:numId w:val="1"/>
        </w:numPr>
      </w:pPr>
      <w:r>
        <w:t xml:space="preserve">AI Model Card (`AI_MODEL_CARD.md`)</w:t>
      </w:r>
    </w:p>
    <w:p>
      <w:pPr>
        <w:pStyle w:val="ListParagraph"/>
        <w:numPr>
          <w:ilvl w:val="0"/>
          <w:numId w:val="1"/>
        </w:numPr>
      </w:pPr>
      <w:r>
        <w:t xml:space="preserve">AI Governance Framework (`AI_GOVERNANCE_FRAMEWORK.md`)</w:t>
      </w:r>
    </w:p>
    <w:p>
      <w:pPr>
        <w:pBdr>
          <w:bottom w:val="single" w:sz="6" w:space="1" w:color="999999"/>
        </w:pBdr>
      </w:pPr>
    </w:p>
    <w:p>
      <w:pPr>
        <w:ind w:left="720"/>
      </w:pPr>
      <w:r>
        <w:rPr>
          <w:i/>
          <w:color w:val="666666"/>
        </w:rPr>
        <w:t xml:space="preserve">This checklist is based on the EU Artificial Intelligence Act (Regulation (EU) 2024/1689). Full transparency obligations take effect on **2 August 2026**. Use this checklist to track your compliance progress.</w:t>
      </w:r>
    </w:p>
    <w:p>
      <w:r>
        <w:t xml:space="preserve">AI Services Detected: openai</w:t>
      </w:r>
    </w:p>
    <w:p>
      <w:pPr>
        <w:pStyle w:val="Heading2"/>
      </w:pPr>
      <w:r>
        <w:t>Transparency</w:t>
      </w:r>
    </w:p>
    <w:p>
      <w:pPr>
        <w:pStyle w:val="ListParagraph"/>
        <w:numPr>
          <w:ilvl w:val="0"/>
          <w:numId w:val="1"/>
        </w:numPr>
      </w:pPr>
      <w:r>
        <w:t xml:space="preserve">[ ] Users are clearly informed when they are interacting with an AI system (Art. 50(1))</w:t>
      </w:r>
    </w:p>
    <w:p>
      <w:pPr>
        <w:pStyle w:val="ListParagraph"/>
        <w:numPr>
          <w:ilvl w:val="0"/>
          <w:numId w:val="1"/>
        </w:numPr>
      </w:pPr>
      <w:r>
        <w:t xml:space="preserve">[ ] AI disclosure statement is published and accessible from the application</w:t>
      </w:r>
    </w:p>
    <w:p>
      <w:pPr>
        <w:pStyle w:val="ListParagraph"/>
        <w:numPr>
          <w:ilvl w:val="0"/>
          <w:numId w:val="1"/>
        </w:numPr>
      </w:pPr>
      <w:r>
        <w:t xml:space="preserve">[ ] AI disclosure is provided at or before the user's first interaction with AI features (Art. 50(5))</w:t>
      </w:r>
    </w:p>
    <w:p>
      <w:pPr>
        <w:pStyle w:val="ListParagraph"/>
        <w:numPr>
          <w:ilvl w:val="0"/>
          <w:numId w:val="1"/>
        </w:numPr>
      </w:pPr>
      <w:r>
        <w:t xml:space="preserve">[ ] Disclosure meets accessibility standards per Directive (EU) 2019/882</w:t>
      </w:r>
    </w:p>
    <w:p>
      <w:pPr>
        <w:pStyle w:val="ListParagraph"/>
        <w:numPr>
          <w:ilvl w:val="0"/>
          <w:numId w:val="1"/>
        </w:numPr>
      </w:pPr>
      <w:r>
        <w:t xml:space="preserve">[ ] AI-generated content is clearly labelled as such to users</w:t>
      </w:r>
    </w:p>
    <w:p>
      <w:pPr>
        <w:pStyle w:val="ListParagraph"/>
        <w:numPr>
          <w:ilvl w:val="0"/>
          <w:numId w:val="1"/>
        </w:numPr>
      </w:pPr>
      <w:r>
        <w:t xml:space="preserve">[ ] Synthetic media (images, audio, video) is disclosed as AI-generated (Art. 50(4))</w:t>
      </w:r>
    </w:p>
    <w:p>
      <w:pPr>
        <w:pStyle w:val="ListParagraph"/>
        <w:numPr>
          <w:ilvl w:val="0"/>
          <w:numId w:val="1"/>
        </w:numPr>
      </w:pPr>
      <w:r>
        <w:t xml:space="preserve">[ ] AI-generated text published to inform the public is labelled as artificially generated</w:t>
      </w:r>
    </w:p>
    <w:p>
      <w:pPr>
        <w:pStyle w:val="ListParagraph"/>
        <w:numPr>
          <w:ilvl w:val="0"/>
          <w:numId w:val="1"/>
        </w:numPr>
      </w:pPr>
      <w:r>
        <w:t xml:space="preserve">[ ] Users are informed about the limitations and potential inaccuracies of AI outputs</w:t>
      </w:r>
    </w:p>
    <w:p>
      <w:pPr>
        <w:pStyle w:val="Heading2"/>
      </w:pPr>
      <w:r>
        <w:t>Documentation</w:t>
      </w:r>
    </w:p>
    <w:p>
      <w:pPr>
        <w:pStyle w:val="ListParagraph"/>
        <w:numPr>
          <w:ilvl w:val="0"/>
          <w:numId w:val="1"/>
        </w:numPr>
      </w:pPr>
      <w:r>
        <w:t xml:space="preserve">[ ] Complete inventory of all AI systems used in the application is maintained</w:t>
      </w:r>
    </w:p>
    <w:p>
      <w:pPr>
        <w:pStyle w:val="ListParagraph"/>
        <w:numPr>
          <w:ilvl w:val="0"/>
          <w:numId w:val="1"/>
        </w:numPr>
      </w:pPr>
      <w:r>
        <w:t xml:space="preserve">[ ] Each AI system's purpose, provider, and data processed is documented</w:t>
      </w:r>
    </w:p>
    <w:p>
      <w:pPr>
        <w:pStyle w:val="ListParagraph"/>
        <w:numPr>
          <w:ilvl w:val="0"/>
          <w:numId w:val="1"/>
        </w:numPr>
      </w:pPr>
      <w:r>
        <w:t xml:space="preserve">[ ] AI provider agreements and data processing terms are reviewed and on file</w:t>
      </w:r>
    </w:p>
    <w:p>
      <w:pPr>
        <w:pStyle w:val="ListParagraph"/>
        <w:numPr>
          <w:ilvl w:val="0"/>
          <w:numId w:val="1"/>
        </w:numPr>
      </w:pPr>
      <w:r>
        <w:t xml:space="preserve">[ ] Data processing records (GDPR Art. 30) include AI service providers</w:t>
      </w:r>
    </w:p>
    <w:p>
      <w:pPr>
        <w:pStyle w:val="ListParagraph"/>
        <w:numPr>
          <w:ilvl w:val="0"/>
          <w:numId w:val="1"/>
        </w:numPr>
      </w:pPr>
      <w:r>
        <w:t xml:space="preserve">[ ] AI disclosure statement is reviewed and updated at least annually</w:t>
      </w:r>
    </w:p>
    <w:p>
      <w:pPr>
        <w:pStyle w:val="ListParagraph"/>
        <w:numPr>
          <w:ilvl w:val="0"/>
          <w:numId w:val="1"/>
        </w:numPr>
      </w:pPr>
      <w:r>
        <w:t xml:space="preserve">[ ] Changes to AI systems or providers are reflected in documentation within 30 days</w:t>
      </w:r>
    </w:p>
    <w:p>
      <w:pPr>
        <w:pStyle w:val="ListParagraph"/>
        <w:numPr>
          <w:ilvl w:val="0"/>
          <w:numId w:val="1"/>
        </w:numPr>
      </w:pPr>
      <w:r>
        <w:t xml:space="preserve">[ ] Records of AI risk classification rationale are maintained</w:t>
      </w:r>
    </w:p>
    <w:p>
      <w:pPr>
        <w:pStyle w:val="Heading2"/>
      </w:pPr>
      <w:r>
        <w:t>Human Oversight</w:t>
      </w:r>
    </w:p>
    <w:p>
      <w:pPr>
        <w:pStyle w:val="ListParagraph"/>
        <w:numPr>
          <w:ilvl w:val="0"/>
          <w:numId w:val="1"/>
        </w:numPr>
      </w:pPr>
      <w:r>
        <w:t xml:space="preserve">[ ] AI features do not make autonomous decisions with legal or similarly significant effects</w:t>
      </w:r>
    </w:p>
    <w:p>
      <w:pPr>
        <w:pStyle w:val="ListParagraph"/>
        <w:numPr>
          <w:ilvl w:val="0"/>
          <w:numId w:val="1"/>
        </w:numPr>
      </w:pPr>
      <w:r>
        <w:t xml:space="preserve">[ ] A process exists for users to request human review of AI-assisted decisions</w:t>
      </w:r>
    </w:p>
    <w:p>
      <w:pPr>
        <w:pStyle w:val="ListParagraph"/>
        <w:numPr>
          <w:ilvl w:val="0"/>
          <w:numId w:val="1"/>
        </w:numPr>
      </w:pPr>
      <w:r>
        <w:t xml:space="preserve">[ ] Staff responsible for human review are identified and trained</w:t>
      </w:r>
    </w:p>
    <w:p>
      <w:pPr>
        <w:pStyle w:val="ListParagraph"/>
        <w:numPr>
          <w:ilvl w:val="0"/>
          <w:numId w:val="1"/>
        </w:numPr>
      </w:pPr>
      <w:r>
        <w:t xml:space="preserve">[ ] Response time for human review requests is defined and communicated</w:t>
      </w:r>
    </w:p>
    <w:p>
      <w:pPr>
        <w:pStyle w:val="ListParagraph"/>
        <w:numPr>
          <w:ilvl w:val="0"/>
          <w:numId w:val="1"/>
        </w:numPr>
      </w:pPr>
      <w:r>
        <w:t xml:space="preserve">[ ] AI outputs that may affect user rights are subject to human verification before action</w:t>
      </w:r>
    </w:p>
    <w:p>
      <w:pPr>
        <w:pStyle w:val="ListParagraph"/>
        <w:numPr>
          <w:ilvl w:val="0"/>
          <w:numId w:val="1"/>
        </w:numPr>
      </w:pPr>
      <w:r>
        <w:t xml:space="preserve">[ ] Override mechanisms exist to correct or reverse AI-generated decisions</w:t>
      </w:r>
    </w:p>
    <w:p>
      <w:pPr>
        <w:pStyle w:val="ListParagraph"/>
        <w:numPr>
          <w:ilvl w:val="0"/>
          <w:numId w:val="1"/>
        </w:numPr>
      </w:pPr>
      <w:r>
        <w:t xml:space="preserve">[ ] Regular audits of AI decision quality are conducted</w:t>
      </w:r>
    </w:p>
    <w:p>
      <w:pPr>
        <w:pStyle w:val="Heading2"/>
      </w:pPr>
      <w:r>
        <w:t>Incident Reporting</w:t>
      </w:r>
    </w:p>
    <w:p>
      <w:pPr>
        <w:pStyle w:val="ListParagraph"/>
        <w:numPr>
          <w:ilvl w:val="0"/>
          <w:numId w:val="1"/>
        </w:numPr>
      </w:pPr>
      <w:r>
        <w:t xml:space="preserve">[ ] Process exists to identify and report serious AI-related incidents</w:t>
      </w:r>
    </w:p>
    <w:p>
      <w:pPr>
        <w:pStyle w:val="ListParagraph"/>
        <w:numPr>
          <w:ilvl w:val="0"/>
          <w:numId w:val="1"/>
        </w:numPr>
      </w:pPr>
      <w:r>
        <w:t xml:space="preserve">[ ] Contact information for relevant national supervisory authority is on file</w:t>
      </w:r>
    </w:p>
    <w:p>
      <w:pPr>
        <w:pStyle w:val="ListParagraph"/>
        <w:numPr>
          <w:ilvl w:val="0"/>
          <w:numId w:val="1"/>
        </w:numPr>
      </w:pPr>
      <w:r>
        <w:t xml:space="preserve">[ ] Incident reporting timeline is defined (serious incidents must be reported promptly)</w:t>
      </w:r>
    </w:p>
    <w:p>
      <w:pPr>
        <w:pStyle w:val="ListParagraph"/>
        <w:numPr>
          <w:ilvl w:val="0"/>
          <w:numId w:val="1"/>
        </w:numPr>
      </w:pPr>
      <w:r>
        <w:t xml:space="preserve">[ ] Internal escalation procedure for AI malfunctions or harmful outputs is established</w:t>
      </w:r>
    </w:p>
    <w:p>
      <w:pPr>
        <w:pStyle w:val="ListParagraph"/>
        <w:numPr>
          <w:ilvl w:val="0"/>
          <w:numId w:val="1"/>
        </w:numPr>
      </w:pPr>
      <w:r>
        <w:t xml:space="preserve">[ ] Log of AI-related incidents and corrective actions is maintained</w:t>
      </w:r>
    </w:p>
    <w:p>
      <w:pPr>
        <w:pStyle w:val="ListParagraph"/>
        <w:numPr>
          <w:ilvl w:val="0"/>
          <w:numId w:val="1"/>
        </w:numPr>
      </w:pPr>
      <w:r>
        <w:t xml:space="preserve">[ ] Users have a clear channel to report concerns about AI behaviour</w:t>
      </w:r>
    </w:p>
    <w:p>
      <w:pPr>
        <w:pStyle w:val="Heading2"/>
      </w:pPr>
      <w:r>
        <w:t>Content Marking (Art. 50(2))</w:t>
      </w:r>
    </w:p>
    <w:p>
      <w:pPr>
        <w:pStyle w:val="ListParagraph"/>
        <w:numPr>
          <w:ilvl w:val="0"/>
          <w:numId w:val="1"/>
        </w:numPr>
      </w:pPr>
      <w:r>
        <w:t xml:space="preserve">[ ] Technical mechanism is implemented to mark AI-generated content as machine-readable</w:t>
      </w:r>
    </w:p>
    <w:p>
      <w:pPr>
        <w:pStyle w:val="ListParagraph"/>
        <w:numPr>
          <w:ilvl w:val="0"/>
          <w:numId w:val="1"/>
        </w:numPr>
      </w:pPr>
      <w:r>
        <w:t xml:space="preserve">[ ] Marking method is interoperable with standard detection tools</w:t>
      </w:r>
    </w:p>
    <w:p>
      <w:pPr>
        <w:pStyle w:val="ListParagraph"/>
        <w:numPr>
          <w:ilvl w:val="0"/>
          <w:numId w:val="1"/>
        </w:numPr>
      </w:pPr>
      <w:r>
        <w:t xml:space="preserve">[ ] Marking is applied at the point of content generation</w:t>
      </w:r>
    </w:p>
    <w:p>
      <w:pPr>
        <w:pStyle w:val="ListParagraph"/>
        <w:numPr>
          <w:ilvl w:val="0"/>
          <w:numId w:val="1"/>
        </w:numPr>
      </w:pPr>
      <w:r>
        <w:t xml:space="preserve">[ ] C2PA content credentials, watermarking, or equivalent metadata standard is adopted</w:t>
      </w:r>
    </w:p>
    <w:p>
      <w:pPr>
        <w:pStyle w:val="ListParagraph"/>
        <w:numPr>
          <w:ilvl w:val="0"/>
          <w:numId w:val="1"/>
        </w:numPr>
      </w:pPr>
      <w:r>
        <w:t xml:space="preserve">[ ] Compliance with the EU Code of Practice on marking AI-generated content is verified</w:t>
      </w:r>
    </w:p>
    <w:p>
      <w:pPr>
        <w:pStyle w:val="ListParagraph"/>
        <w:numPr>
          <w:ilvl w:val="0"/>
          <w:numId w:val="1"/>
        </w:numPr>
      </w:pPr>
      <w:r>
        <w:t xml:space="preserve">[ ] Marking cannot be easily removed or circumvented by end users</w:t>
      </w:r>
    </w:p>
    <w:p>
      <w:pPr>
        <w:pStyle w:val="Heading2"/>
      </w:pPr>
      <w:r>
        <w:t>Data Protection</w:t>
      </w:r>
    </w:p>
    <w:p>
      <w:pPr>
        <w:pStyle w:val="ListParagraph"/>
        <w:numPr>
          <w:ilvl w:val="0"/>
          <w:numId w:val="1"/>
        </w:numPr>
      </w:pPr>
      <w:r>
        <w:t xml:space="preserve">[ ] Data processing agreements are in place with all AI service providers</w:t>
      </w:r>
    </w:p>
    <w:p>
      <w:pPr>
        <w:pStyle w:val="ListParagraph"/>
        <w:numPr>
          <w:ilvl w:val="0"/>
          <w:numId w:val="1"/>
        </w:numPr>
      </w:pPr>
      <w:r>
        <w:t xml:space="preserve">[ ] Cross-border data transfer safeguards are documented (SCCs, EU-US DPF, adequacy decisions)</w:t>
      </w:r>
    </w:p>
    <w:p>
      <w:pPr>
        <w:pStyle w:val="ListParagraph"/>
        <w:numPr>
          <w:ilvl w:val="0"/>
          <w:numId w:val="1"/>
        </w:numPr>
      </w:pPr>
      <w:r>
        <w:t xml:space="preserve">[ ] Data minimisation principle is applied to data sent to AI providers</w:t>
      </w:r>
    </w:p>
    <w:p>
      <w:pPr>
        <w:pStyle w:val="ListParagraph"/>
        <w:numPr>
          <w:ilvl w:val="0"/>
          <w:numId w:val="1"/>
        </w:numPr>
      </w:pPr>
      <w:r>
        <w:t xml:space="preserve">[ ] Data retention policies for AI interaction data are defined</w:t>
      </w:r>
    </w:p>
    <w:p>
      <w:pPr>
        <w:pStyle w:val="ListParagraph"/>
        <w:numPr>
          <w:ilvl w:val="0"/>
          <w:numId w:val="1"/>
        </w:numPr>
      </w:pPr>
      <w:r>
        <w:t xml:space="preserve">[ ] Users can request deletion of their data from AI processing pipelines</w:t>
      </w:r>
    </w:p>
    <w:p>
      <w:pPr>
        <w:pStyle w:val="ListParagraph"/>
        <w:numPr>
          <w:ilvl w:val="0"/>
          <w:numId w:val="1"/>
        </w:numPr>
      </w:pPr>
      <w:r>
        <w:t xml:space="preserve">[ ] Privacy impact assessment (DPIA) has been conducted for AI features</w:t>
      </w:r>
    </w:p>
    <w:p>
      <w:pPr>
        <w:pStyle w:val="ListParagraph"/>
        <w:numPr>
          <w:ilvl w:val="0"/>
          <w:numId w:val="1"/>
        </w:numPr>
      </w:pPr>
      <w:r>
        <w:t xml:space="preserve">[ ] AI provider data processing policies are reviewed for GDPR compliance</w:t>
      </w:r>
    </w:p>
    <w:p>
      <w:pPr>
        <w:pBdr>
          <w:bottom w:val="single" w:sz="6" w:space="1" w:color="999999"/>
        </w:pBdr>
      </w:pPr>
    </w:p>
    <w:p>
      <w:r>
        <w:t xml:space="preserve">This checklist was generated by [Codepliant](https://github.com/joechensmartz/codepliant) based on automated code analysis. It is intended as a compliance tracking aid and should be reviewed by a legal professional. The EU AI Act requirements may evolve as implementing acts and codes of practice are finalised.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